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8F58" w14:textId="77777777" w:rsidR="00AF48FD" w:rsidRPr="00253EA6" w:rsidRDefault="00AF48FD" w:rsidP="00AF48FD">
      <w:pPr>
        <w:tabs>
          <w:tab w:val="left" w:pos="4962"/>
        </w:tabs>
        <w:autoSpaceDE w:val="0"/>
        <w:autoSpaceDN w:val="0"/>
        <w:spacing w:after="0" w:line="240" w:lineRule="auto"/>
        <w:ind w:left="567" w:right="284"/>
        <w:jc w:val="center"/>
        <w:rPr>
          <w:rFonts w:ascii="Georgia" w:eastAsia="Times New Roman" w:hAnsi="Georgia" w:cs="Arial"/>
          <w:b/>
          <w:kern w:val="28"/>
          <w:lang w:eastAsia="it-IT"/>
        </w:rPr>
      </w:pPr>
      <w:r w:rsidRPr="00253EA6">
        <w:rPr>
          <w:rFonts w:ascii="Georgia" w:eastAsia="Times New Roman" w:hAnsi="Georgia" w:cs="Arial"/>
          <w:kern w:val="28"/>
          <w:lang w:eastAsia="it-IT"/>
        </w:rPr>
        <w:object w:dxaOrig="931" w:dyaOrig="1007" w14:anchorId="0371F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49.45pt" o:ole="" fillcolor="window">
            <v:imagedata r:id="rId4" o:title=""/>
          </v:shape>
          <o:OLEObject Type="Embed" ProgID="Word.Picture.8" ShapeID="_x0000_i1025" DrawAspect="Content" ObjectID="_1710055990" r:id="rId5"/>
        </w:object>
      </w:r>
    </w:p>
    <w:p w14:paraId="3D972246" w14:textId="77777777" w:rsidR="00AF48FD" w:rsidRPr="00253EA6" w:rsidRDefault="00AF48FD" w:rsidP="00AF48FD">
      <w:pPr>
        <w:autoSpaceDE w:val="0"/>
        <w:autoSpaceDN w:val="0"/>
        <w:spacing w:after="0" w:line="240" w:lineRule="auto"/>
        <w:ind w:left="567"/>
        <w:jc w:val="center"/>
        <w:rPr>
          <w:rFonts w:ascii="Georgia" w:eastAsia="Times New Roman" w:hAnsi="Georgia" w:cs="Arial"/>
          <w:b/>
          <w:bCs/>
          <w:kern w:val="28"/>
          <w:lang w:eastAsia="it-IT"/>
        </w:rPr>
      </w:pPr>
      <w:r w:rsidRPr="00253EA6">
        <w:rPr>
          <w:rFonts w:ascii="Georgia" w:eastAsia="Times New Roman" w:hAnsi="Georgia" w:cs="Arial"/>
          <w:b/>
          <w:bCs/>
          <w:kern w:val="28"/>
          <w:lang w:eastAsia="it-IT"/>
        </w:rPr>
        <w:t>IL TRIBUNALE PER I MINORENNI DI CATANIA</w:t>
      </w:r>
    </w:p>
    <w:p w14:paraId="6A0AADD2" w14:textId="77777777" w:rsidR="00AF48FD" w:rsidRPr="00253EA6" w:rsidRDefault="00AF48FD" w:rsidP="00AF48FD">
      <w:pPr>
        <w:tabs>
          <w:tab w:val="left" w:pos="8647"/>
          <w:tab w:val="left" w:pos="8931"/>
        </w:tabs>
        <w:spacing w:after="120" w:line="240" w:lineRule="auto"/>
        <w:jc w:val="center"/>
        <w:rPr>
          <w:rFonts w:ascii="Georgia" w:eastAsia="Times New Roman" w:hAnsi="Georgia" w:cs="Times New Roman"/>
          <w:lang w:eastAsia="it-IT"/>
        </w:rPr>
      </w:pPr>
      <w:r w:rsidRPr="00253EA6">
        <w:rPr>
          <w:rFonts w:ascii="Georgia" w:eastAsia="Times New Roman" w:hAnsi="Georgia" w:cs="Times New Roman"/>
          <w:b/>
          <w:lang w:eastAsia="it-IT"/>
        </w:rPr>
        <w:t>nelle funzioni di TRIBUNALE DI SORVEGLIANZA</w:t>
      </w:r>
    </w:p>
    <w:p w14:paraId="36BB3BB0" w14:textId="77777777" w:rsidR="00AF48FD" w:rsidRPr="00253EA6" w:rsidRDefault="00AF48FD" w:rsidP="00AF48FD">
      <w:pPr>
        <w:tabs>
          <w:tab w:val="left" w:pos="8647"/>
          <w:tab w:val="left" w:pos="8931"/>
        </w:tabs>
        <w:spacing w:after="0" w:line="240" w:lineRule="auto"/>
        <w:rPr>
          <w:rFonts w:ascii="Georgia" w:eastAsia="Times New Roman" w:hAnsi="Georgia" w:cs="Times New Roman"/>
          <w:lang w:eastAsia="it-IT"/>
        </w:rPr>
      </w:pPr>
      <w:r w:rsidRPr="00253EA6">
        <w:rPr>
          <w:rFonts w:ascii="Georgia" w:eastAsia="Times New Roman" w:hAnsi="Georgia" w:cs="Times New Roman"/>
          <w:lang w:eastAsia="it-IT"/>
        </w:rPr>
        <w:t>riunito in Camera di Consiglio nelle persone di:</w:t>
      </w:r>
    </w:p>
    <w:p w14:paraId="47EDA614" w14:textId="77777777" w:rsidR="00AF48FD" w:rsidRPr="00253EA6" w:rsidRDefault="00AF48FD" w:rsidP="00AF48FD">
      <w:pPr>
        <w:tabs>
          <w:tab w:val="left" w:pos="8647"/>
          <w:tab w:val="left" w:pos="8931"/>
        </w:tabs>
        <w:spacing w:after="0" w:line="240" w:lineRule="auto"/>
        <w:rPr>
          <w:rFonts w:ascii="Georgia" w:eastAsia="Times New Roman" w:hAnsi="Georgia" w:cs="Arial"/>
          <w:kern w:val="28"/>
          <w:lang w:eastAsia="it-IT"/>
        </w:rPr>
      </w:pPr>
      <w:r w:rsidRPr="00253EA6">
        <w:rPr>
          <w:rFonts w:ascii="Georgia" w:eastAsia="Times New Roman" w:hAnsi="Georgia" w:cs="Arial"/>
          <w:kern w:val="28"/>
          <w:lang w:eastAsia="it-IT"/>
        </w:rPr>
        <w:t xml:space="preserve">Dott.ssa  </w:t>
      </w:r>
      <w:r w:rsidRPr="00253EA6">
        <w:rPr>
          <w:rFonts w:ascii="Georgia" w:eastAsia="Times New Roman" w:hAnsi="Georgia" w:cs="Arial"/>
          <w:kern w:val="28"/>
          <w:highlight w:val="black"/>
          <w:lang w:eastAsia="it-IT"/>
        </w:rPr>
        <w:t>R. Castrogiovanni</w:t>
      </w:r>
      <w:r w:rsidRPr="00253EA6">
        <w:rPr>
          <w:rFonts w:ascii="Georgia" w:eastAsia="Times New Roman" w:hAnsi="Georgia" w:cs="Arial"/>
          <w:kern w:val="28"/>
          <w:lang w:eastAsia="it-IT"/>
        </w:rPr>
        <w:t>……….Presidente</w:t>
      </w:r>
    </w:p>
    <w:p w14:paraId="030930A0" w14:textId="77777777" w:rsidR="00AF48FD" w:rsidRPr="00253EA6" w:rsidRDefault="00AF48FD" w:rsidP="00AF48FD">
      <w:pPr>
        <w:tabs>
          <w:tab w:val="left" w:pos="8931"/>
        </w:tabs>
        <w:autoSpaceDE w:val="0"/>
        <w:autoSpaceDN w:val="0"/>
        <w:spacing w:after="0" w:line="240" w:lineRule="auto"/>
        <w:ind w:right="-142"/>
        <w:jc w:val="both"/>
        <w:rPr>
          <w:rFonts w:ascii="Georgia" w:eastAsia="Times New Roman" w:hAnsi="Georgia" w:cs="Arial"/>
          <w:kern w:val="28"/>
          <w:lang w:eastAsia="it-IT"/>
        </w:rPr>
      </w:pPr>
      <w:r w:rsidRPr="00253EA6">
        <w:rPr>
          <w:rFonts w:ascii="Georgia" w:eastAsia="Times New Roman" w:hAnsi="Georgia" w:cs="Arial"/>
          <w:kern w:val="28"/>
          <w:lang w:eastAsia="it-IT"/>
        </w:rPr>
        <w:t xml:space="preserve">Dott.ssa  </w:t>
      </w:r>
      <w:r w:rsidRPr="00253EA6">
        <w:rPr>
          <w:rFonts w:ascii="Georgia" w:eastAsia="Times New Roman" w:hAnsi="Georgia" w:cs="Arial"/>
          <w:kern w:val="28"/>
          <w:highlight w:val="black"/>
          <w:lang w:eastAsia="it-IT"/>
        </w:rPr>
        <w:t>E. Seminara</w:t>
      </w:r>
      <w:r w:rsidRPr="00253EA6">
        <w:rPr>
          <w:rFonts w:ascii="Georgia" w:eastAsia="Times New Roman" w:hAnsi="Georgia" w:cs="Arial"/>
          <w:kern w:val="28"/>
          <w:lang w:eastAsia="it-IT"/>
        </w:rPr>
        <w:t>………..Mag. di sorveglianza</w:t>
      </w:r>
    </w:p>
    <w:p w14:paraId="129B180F" w14:textId="77777777" w:rsidR="00AF48FD" w:rsidRPr="00253EA6" w:rsidRDefault="00AF48FD" w:rsidP="00AF48FD">
      <w:pPr>
        <w:tabs>
          <w:tab w:val="left" w:pos="8931"/>
        </w:tabs>
        <w:autoSpaceDE w:val="0"/>
        <w:autoSpaceDN w:val="0"/>
        <w:spacing w:after="0" w:line="240" w:lineRule="auto"/>
        <w:ind w:right="-142"/>
        <w:jc w:val="both"/>
        <w:rPr>
          <w:rFonts w:ascii="Georgia" w:eastAsia="Times New Roman" w:hAnsi="Georgia" w:cs="Arial"/>
          <w:kern w:val="28"/>
          <w:lang w:eastAsia="it-IT"/>
        </w:rPr>
      </w:pPr>
      <w:r w:rsidRPr="00253EA6">
        <w:rPr>
          <w:rFonts w:ascii="Georgia" w:eastAsia="Times New Roman" w:hAnsi="Georgia" w:cs="Arial"/>
          <w:kern w:val="28"/>
          <w:lang w:eastAsia="it-IT"/>
        </w:rPr>
        <w:t xml:space="preserve">Dott.ssa  </w:t>
      </w:r>
      <w:r w:rsidRPr="00253EA6">
        <w:rPr>
          <w:rFonts w:ascii="Georgia" w:eastAsia="Times New Roman" w:hAnsi="Georgia" w:cs="Arial"/>
          <w:kern w:val="28"/>
          <w:highlight w:val="black"/>
          <w:lang w:eastAsia="it-IT"/>
        </w:rPr>
        <w:t>M. Laudani</w:t>
      </w:r>
      <w:r w:rsidRPr="00253EA6">
        <w:rPr>
          <w:rFonts w:ascii="Georgia" w:eastAsia="Times New Roman" w:hAnsi="Georgia" w:cs="Arial"/>
          <w:kern w:val="28"/>
          <w:lang w:eastAsia="it-IT"/>
        </w:rPr>
        <w:t xml:space="preserve"> …………</w:t>
      </w:r>
      <w:proofErr w:type="spellStart"/>
      <w:r w:rsidRPr="00253EA6">
        <w:rPr>
          <w:rFonts w:ascii="Georgia" w:eastAsia="Times New Roman" w:hAnsi="Georgia" w:cs="Arial"/>
          <w:kern w:val="28"/>
          <w:lang w:eastAsia="it-IT"/>
        </w:rPr>
        <w:t>Comp</w:t>
      </w:r>
      <w:proofErr w:type="spellEnd"/>
      <w:r w:rsidRPr="00253EA6">
        <w:rPr>
          <w:rFonts w:ascii="Georgia" w:eastAsia="Times New Roman" w:hAnsi="Georgia" w:cs="Arial"/>
          <w:kern w:val="28"/>
          <w:lang w:eastAsia="it-IT"/>
        </w:rPr>
        <w:t>. Priv.</w:t>
      </w:r>
    </w:p>
    <w:p w14:paraId="62F6B830" w14:textId="77777777" w:rsidR="00AF48FD" w:rsidRPr="00253EA6" w:rsidRDefault="00AF48FD" w:rsidP="00AF48FD">
      <w:pPr>
        <w:autoSpaceDE w:val="0"/>
        <w:autoSpaceDN w:val="0"/>
        <w:spacing w:after="0" w:line="240" w:lineRule="auto"/>
        <w:ind w:right="-142"/>
        <w:jc w:val="both"/>
        <w:rPr>
          <w:rFonts w:ascii="Georgia" w:eastAsia="Times New Roman" w:hAnsi="Georgia" w:cs="Arial"/>
          <w:kern w:val="28"/>
          <w:lang w:eastAsia="it-IT"/>
        </w:rPr>
      </w:pPr>
      <w:r w:rsidRPr="00253EA6">
        <w:rPr>
          <w:rFonts w:ascii="Georgia" w:eastAsia="Times New Roman" w:hAnsi="Georgia" w:cs="Arial"/>
          <w:kern w:val="28"/>
          <w:lang w:eastAsia="it-IT"/>
        </w:rPr>
        <w:t xml:space="preserve">Dott.        </w:t>
      </w:r>
      <w:r w:rsidRPr="00253EA6">
        <w:rPr>
          <w:rFonts w:ascii="Georgia" w:eastAsia="Times New Roman" w:hAnsi="Georgia" w:cs="Arial"/>
          <w:kern w:val="28"/>
          <w:highlight w:val="black"/>
          <w:lang w:eastAsia="it-IT"/>
        </w:rPr>
        <w:t>A. Arculeo</w:t>
      </w:r>
      <w:r w:rsidRPr="00253EA6">
        <w:rPr>
          <w:rFonts w:ascii="Georgia" w:eastAsia="Times New Roman" w:hAnsi="Georgia" w:cs="Arial"/>
          <w:kern w:val="28"/>
          <w:lang w:eastAsia="it-IT"/>
        </w:rPr>
        <w:t xml:space="preserve"> ……...……</w:t>
      </w:r>
      <w:proofErr w:type="spellStart"/>
      <w:r w:rsidRPr="00253EA6">
        <w:rPr>
          <w:rFonts w:ascii="Georgia" w:eastAsia="Times New Roman" w:hAnsi="Georgia" w:cs="Arial"/>
          <w:kern w:val="28"/>
          <w:lang w:eastAsia="it-IT"/>
        </w:rPr>
        <w:t>Comp</w:t>
      </w:r>
      <w:proofErr w:type="spellEnd"/>
      <w:r w:rsidRPr="00253EA6">
        <w:rPr>
          <w:rFonts w:ascii="Georgia" w:eastAsia="Times New Roman" w:hAnsi="Georgia" w:cs="Arial"/>
          <w:kern w:val="28"/>
          <w:lang w:eastAsia="it-IT"/>
        </w:rPr>
        <w:t>. Priv.</w:t>
      </w:r>
    </w:p>
    <w:p w14:paraId="2E04F7E2" w14:textId="77777777" w:rsidR="00AF48FD" w:rsidRPr="00253EA6" w:rsidRDefault="00AF48FD" w:rsidP="00AF48FD">
      <w:pPr>
        <w:tabs>
          <w:tab w:val="left" w:pos="9720"/>
        </w:tabs>
        <w:autoSpaceDE w:val="0"/>
        <w:autoSpaceDN w:val="0"/>
        <w:spacing w:after="0" w:line="240" w:lineRule="auto"/>
        <w:ind w:right="-82"/>
        <w:jc w:val="both"/>
        <w:rPr>
          <w:rFonts w:ascii="Georgia" w:eastAsia="Times New Roman" w:hAnsi="Georgia" w:cs="Arial"/>
          <w:kern w:val="28"/>
          <w:lang w:eastAsia="it-IT"/>
        </w:rPr>
      </w:pPr>
      <w:r w:rsidRPr="00253EA6">
        <w:rPr>
          <w:rFonts w:ascii="Georgia" w:eastAsia="Times New Roman" w:hAnsi="Georgia" w:cs="Arial"/>
          <w:kern w:val="28"/>
          <w:lang w:eastAsia="it-IT"/>
        </w:rPr>
        <w:t>in esito all’udienza dell’</w:t>
      </w:r>
      <w:r w:rsidRPr="00253EA6">
        <w:rPr>
          <w:rFonts w:ascii="Georgia" w:eastAsia="Times New Roman" w:hAnsi="Georgia" w:cs="Arial"/>
          <w:kern w:val="28"/>
          <w:highlight w:val="black"/>
          <w:lang w:eastAsia="it-IT"/>
        </w:rPr>
        <w:t>11 novembre 2021</w:t>
      </w:r>
      <w:r w:rsidRPr="00253EA6">
        <w:rPr>
          <w:rFonts w:ascii="Georgia" w:eastAsia="Times New Roman" w:hAnsi="Georgia" w:cs="Arial"/>
          <w:kern w:val="28"/>
          <w:lang w:eastAsia="it-IT"/>
        </w:rPr>
        <w:t xml:space="preserve"> ove è intervenuto il Sostituto Procuratore della Repubblica presso questo Tribunale Dott.ssa </w:t>
      </w:r>
      <w:r w:rsidR="00530EF0" w:rsidRPr="00253EA6">
        <w:rPr>
          <w:rFonts w:ascii="Georgia" w:eastAsia="Times New Roman" w:hAnsi="Georgia" w:cs="Arial"/>
          <w:kern w:val="28"/>
          <w:highlight w:val="black"/>
          <w:lang w:eastAsia="it-IT"/>
        </w:rPr>
        <w:t>…………..</w:t>
      </w:r>
      <w:r w:rsidRPr="00253EA6">
        <w:rPr>
          <w:rFonts w:ascii="Georgia" w:eastAsia="Times New Roman" w:hAnsi="Georgia" w:cs="Arial"/>
          <w:kern w:val="28"/>
          <w:highlight w:val="black"/>
          <w:lang w:eastAsia="it-IT"/>
        </w:rPr>
        <w:t>,</w:t>
      </w:r>
      <w:r w:rsidRPr="00253EA6">
        <w:rPr>
          <w:rFonts w:ascii="Georgia" w:eastAsia="Times New Roman" w:hAnsi="Georgia" w:cs="Arial"/>
          <w:kern w:val="28"/>
          <w:lang w:eastAsia="it-IT"/>
        </w:rPr>
        <w:t xml:space="preserve"> ha emesso il seguente  </w:t>
      </w:r>
    </w:p>
    <w:p w14:paraId="0FA668E7" w14:textId="77777777" w:rsidR="00AF48FD" w:rsidRPr="00253EA6" w:rsidRDefault="00AF48FD" w:rsidP="00AF48FD">
      <w:pPr>
        <w:tabs>
          <w:tab w:val="left" w:pos="9720"/>
        </w:tabs>
        <w:autoSpaceDE w:val="0"/>
        <w:autoSpaceDN w:val="0"/>
        <w:spacing w:after="0" w:line="276" w:lineRule="auto"/>
        <w:ind w:right="-82"/>
        <w:jc w:val="center"/>
        <w:rPr>
          <w:rFonts w:ascii="Georgia" w:eastAsia="Times New Roman" w:hAnsi="Georgia" w:cs="Arial"/>
          <w:b/>
          <w:kern w:val="28"/>
          <w:lang w:eastAsia="it-IT"/>
        </w:rPr>
      </w:pPr>
      <w:r w:rsidRPr="00253EA6">
        <w:rPr>
          <w:rFonts w:ascii="Georgia" w:eastAsia="Times New Roman" w:hAnsi="Georgia" w:cs="Arial"/>
          <w:b/>
          <w:kern w:val="28"/>
          <w:lang w:eastAsia="it-IT"/>
        </w:rPr>
        <w:t>PROVVEDIMENTO</w:t>
      </w:r>
    </w:p>
    <w:p w14:paraId="7E132A8C" w14:textId="2E7DA8C8" w:rsidR="00AF48FD" w:rsidRPr="00253EA6" w:rsidRDefault="00AF48FD" w:rsidP="00AF48FD">
      <w:pPr>
        <w:autoSpaceDE w:val="0"/>
        <w:autoSpaceDN w:val="0"/>
        <w:spacing w:after="0" w:line="276" w:lineRule="auto"/>
        <w:ind w:firstLine="708"/>
        <w:jc w:val="both"/>
        <w:rPr>
          <w:rFonts w:ascii="Georgia" w:eastAsia="Times New Roman" w:hAnsi="Georgia" w:cs="Arial"/>
          <w:kern w:val="28"/>
          <w:lang w:eastAsia="it-IT"/>
        </w:rPr>
      </w:pPr>
      <w:r w:rsidRPr="00253EA6">
        <w:rPr>
          <w:rFonts w:ascii="Georgia" w:eastAsia="Times New Roman" w:hAnsi="Georgia" w:cs="Arial"/>
          <w:kern w:val="28"/>
          <w:lang w:eastAsia="it-IT"/>
        </w:rPr>
        <w:t xml:space="preserve">Vista l’istanza di </w:t>
      </w:r>
      <w:r w:rsidR="00530EF0" w:rsidRPr="00253EA6">
        <w:rPr>
          <w:rFonts w:ascii="Georgia" w:eastAsia="Times New Roman" w:hAnsi="Georgia" w:cs="Arial"/>
          <w:b/>
          <w:kern w:val="28"/>
          <w:highlight w:val="black"/>
          <w:lang w:eastAsia="it-IT"/>
        </w:rPr>
        <w:t>************************</w:t>
      </w:r>
      <w:r w:rsidRPr="00253EA6">
        <w:rPr>
          <w:rFonts w:ascii="Georgia" w:eastAsia="Times New Roman" w:hAnsi="Georgia" w:cs="Arial"/>
          <w:kern w:val="28"/>
          <w:lang w:eastAsia="it-IT"/>
        </w:rPr>
        <w:t xml:space="preserve"> con oggetto l’ammissione a misure alternative al carcere per scontare la pena di cui al provvedimento n. SIEP </w:t>
      </w:r>
      <w:r w:rsidR="00253EA6" w:rsidRPr="00253EA6">
        <w:rPr>
          <w:rFonts w:ascii="Georgia" w:eastAsia="Times New Roman" w:hAnsi="Georgia" w:cs="Arial"/>
          <w:kern w:val="28"/>
          <w:highlight w:val="black"/>
          <w:lang w:eastAsia="it-IT"/>
        </w:rPr>
        <w:t>…</w:t>
      </w:r>
      <w:r w:rsidR="00253EA6" w:rsidRPr="00253EA6">
        <w:rPr>
          <w:rFonts w:ascii="Georgia" w:eastAsia="Times New Roman" w:hAnsi="Georgia" w:cs="Arial"/>
          <w:kern w:val="28"/>
          <w:lang w:eastAsia="it-IT"/>
        </w:rPr>
        <w:t xml:space="preserve"> </w:t>
      </w:r>
      <w:r w:rsidRPr="00253EA6">
        <w:rPr>
          <w:rFonts w:ascii="Georgia" w:eastAsia="Times New Roman" w:hAnsi="Georgia" w:cs="Arial"/>
          <w:kern w:val="28"/>
          <w:lang w:eastAsia="it-IT"/>
        </w:rPr>
        <w:t xml:space="preserve">emesso dalla Procura in sede il </w:t>
      </w:r>
      <w:r w:rsidRPr="00253EA6">
        <w:rPr>
          <w:rFonts w:ascii="Georgia" w:eastAsia="Times New Roman" w:hAnsi="Georgia" w:cs="Arial"/>
          <w:kern w:val="28"/>
          <w:highlight w:val="black"/>
          <w:lang w:eastAsia="it-IT"/>
        </w:rPr>
        <w:t>10/09/2021</w:t>
      </w:r>
      <w:r w:rsidRPr="00253EA6">
        <w:rPr>
          <w:rFonts w:ascii="Georgia" w:eastAsia="Times New Roman" w:hAnsi="Georgia" w:cs="Arial"/>
          <w:kern w:val="28"/>
          <w:lang w:eastAsia="it-IT"/>
        </w:rPr>
        <w:t xml:space="preserve">; </w:t>
      </w:r>
    </w:p>
    <w:p w14:paraId="40544BBF" w14:textId="77777777" w:rsidR="00AF48FD" w:rsidRPr="00253EA6" w:rsidRDefault="00AF48FD" w:rsidP="00AF48FD">
      <w:pPr>
        <w:autoSpaceDE w:val="0"/>
        <w:autoSpaceDN w:val="0"/>
        <w:spacing w:after="0" w:line="276" w:lineRule="auto"/>
        <w:ind w:firstLine="708"/>
        <w:jc w:val="both"/>
        <w:rPr>
          <w:rFonts w:ascii="Georgia" w:eastAsia="Times New Roman" w:hAnsi="Georgia" w:cs="Arial"/>
          <w:kern w:val="28"/>
          <w:lang w:eastAsia="it-IT"/>
        </w:rPr>
      </w:pPr>
    </w:p>
    <w:p w14:paraId="7CEAC735" w14:textId="77777777" w:rsidR="00AF48FD" w:rsidRPr="00253EA6" w:rsidRDefault="00AF48FD" w:rsidP="00AF48FD">
      <w:pPr>
        <w:autoSpaceDE w:val="0"/>
        <w:autoSpaceDN w:val="0"/>
        <w:spacing w:after="0" w:line="276" w:lineRule="auto"/>
        <w:ind w:firstLine="708"/>
        <w:jc w:val="both"/>
        <w:rPr>
          <w:rFonts w:ascii="Georgia" w:eastAsia="Times New Roman" w:hAnsi="Georgia" w:cs="Arial"/>
          <w:kern w:val="28"/>
          <w:lang w:eastAsia="it-IT"/>
        </w:rPr>
      </w:pPr>
      <w:r w:rsidRPr="00253EA6">
        <w:rPr>
          <w:rFonts w:ascii="Georgia" w:eastAsia="Times New Roman" w:hAnsi="Georgia" w:cs="Arial"/>
          <w:kern w:val="28"/>
          <w:lang w:eastAsia="it-IT"/>
        </w:rPr>
        <w:t xml:space="preserve">Sentiti all’udienza odierna il Procuratore e il difensore; </w:t>
      </w:r>
    </w:p>
    <w:p w14:paraId="55E940E0" w14:textId="77777777" w:rsidR="00AF48FD" w:rsidRPr="00253EA6" w:rsidRDefault="00AF48FD" w:rsidP="00AF48FD">
      <w:pPr>
        <w:autoSpaceDE w:val="0"/>
        <w:autoSpaceDN w:val="0"/>
        <w:spacing w:after="0" w:line="276" w:lineRule="auto"/>
        <w:ind w:firstLine="708"/>
        <w:jc w:val="both"/>
        <w:rPr>
          <w:rFonts w:ascii="Georgia" w:eastAsia="Times New Roman" w:hAnsi="Georgia" w:cs="Arial"/>
          <w:kern w:val="28"/>
          <w:u w:val="single"/>
          <w:lang w:eastAsia="it-IT"/>
        </w:rPr>
      </w:pPr>
    </w:p>
    <w:p w14:paraId="706ABEB1" w14:textId="77777777" w:rsidR="00AF48FD" w:rsidRPr="00253EA6" w:rsidRDefault="00AF48FD" w:rsidP="00AF48FD">
      <w:pPr>
        <w:autoSpaceDE w:val="0"/>
        <w:autoSpaceDN w:val="0"/>
        <w:spacing w:after="0" w:line="276" w:lineRule="auto"/>
        <w:ind w:firstLine="708"/>
        <w:jc w:val="both"/>
        <w:rPr>
          <w:rFonts w:ascii="Georgia" w:eastAsia="Times New Roman" w:hAnsi="Georgia" w:cs="Arial"/>
          <w:kern w:val="28"/>
          <w:lang w:eastAsia="it-IT"/>
        </w:rPr>
      </w:pPr>
      <w:r w:rsidRPr="00253EA6">
        <w:rPr>
          <w:rFonts w:ascii="Georgia" w:eastAsia="Times New Roman" w:hAnsi="Georgia" w:cs="Arial"/>
          <w:kern w:val="28"/>
          <w:u w:val="single"/>
          <w:lang w:eastAsia="it-IT"/>
        </w:rPr>
        <w:t>Osserva preliminarmente quanto segue.</w:t>
      </w:r>
      <w:r w:rsidRPr="00253EA6">
        <w:rPr>
          <w:rFonts w:ascii="Georgia" w:eastAsia="Times New Roman" w:hAnsi="Georgia" w:cs="Arial"/>
          <w:kern w:val="28"/>
          <w:lang w:eastAsia="it-IT"/>
        </w:rPr>
        <w:t xml:space="preserve"> </w:t>
      </w:r>
    </w:p>
    <w:p w14:paraId="4A228D07" w14:textId="77777777" w:rsidR="00AF48FD" w:rsidRPr="00253EA6" w:rsidRDefault="00AF48FD" w:rsidP="00AF48FD">
      <w:pPr>
        <w:autoSpaceDE w:val="0"/>
        <w:autoSpaceDN w:val="0"/>
        <w:spacing w:after="0" w:line="276" w:lineRule="auto"/>
        <w:ind w:firstLine="708"/>
        <w:jc w:val="both"/>
        <w:rPr>
          <w:rFonts w:ascii="Georgia" w:eastAsia="Times New Roman" w:hAnsi="Georgia" w:cs="Arial"/>
          <w:kern w:val="28"/>
          <w:lang w:eastAsia="it-IT"/>
        </w:rPr>
      </w:pPr>
      <w:r w:rsidRPr="00253EA6">
        <w:rPr>
          <w:rFonts w:ascii="Georgia" w:eastAsia="Times New Roman" w:hAnsi="Georgia" w:cs="Arial"/>
          <w:kern w:val="28"/>
          <w:lang w:eastAsia="it-IT"/>
        </w:rPr>
        <w:t xml:space="preserve">In base al provvedimento SIEP sopra citato emerge che a carico del predetto istante risultano allo stato eseguibili due sentenze definitive di condanna: la n. </w:t>
      </w:r>
      <w:r w:rsidR="00530EF0" w:rsidRPr="00253EA6">
        <w:rPr>
          <w:rFonts w:ascii="Georgia" w:eastAsia="Times New Roman" w:hAnsi="Georgia" w:cs="Arial"/>
          <w:kern w:val="28"/>
          <w:highlight w:val="black"/>
          <w:lang w:eastAsia="it-IT"/>
        </w:rPr>
        <w:t>…..</w:t>
      </w:r>
      <w:r w:rsidRPr="00253EA6">
        <w:rPr>
          <w:rFonts w:ascii="Georgia" w:eastAsia="Times New Roman" w:hAnsi="Georgia" w:cs="Arial"/>
          <w:kern w:val="28"/>
          <w:lang w:eastAsia="it-IT"/>
        </w:rPr>
        <w:t xml:space="preserve"> (passata in giudicato il </w:t>
      </w:r>
      <w:r w:rsidR="00530EF0" w:rsidRPr="00253EA6">
        <w:rPr>
          <w:rFonts w:ascii="Georgia" w:eastAsia="Times New Roman" w:hAnsi="Georgia" w:cs="Arial"/>
          <w:kern w:val="28"/>
          <w:highlight w:val="black"/>
          <w:lang w:eastAsia="it-IT"/>
        </w:rPr>
        <w:t>….</w:t>
      </w:r>
      <w:r w:rsidRPr="00253EA6">
        <w:rPr>
          <w:rFonts w:ascii="Georgia" w:eastAsia="Times New Roman" w:hAnsi="Georgia" w:cs="Arial"/>
          <w:kern w:val="28"/>
          <w:lang w:eastAsia="it-IT"/>
        </w:rPr>
        <w:t xml:space="preserve">), emessa dal tribunale penale ordinario per reato di cessione illecita di sostanze stupefacenti, consumato dal </w:t>
      </w:r>
      <w:r w:rsidR="00530EF0" w:rsidRPr="00253EA6">
        <w:rPr>
          <w:rFonts w:ascii="Georgia" w:eastAsia="Times New Roman" w:hAnsi="Georgia" w:cs="Arial"/>
          <w:b/>
          <w:kern w:val="28"/>
          <w:highlight w:val="black"/>
          <w:lang w:eastAsia="it-IT"/>
        </w:rPr>
        <w:t>************************</w:t>
      </w:r>
      <w:r w:rsidRPr="00253EA6">
        <w:rPr>
          <w:rFonts w:ascii="Georgia" w:eastAsia="Times New Roman" w:hAnsi="Georgia" w:cs="Arial"/>
          <w:kern w:val="28"/>
          <w:lang w:eastAsia="it-IT"/>
        </w:rPr>
        <w:t xml:space="preserve"> nella maggiore età, e la sentenza n. </w:t>
      </w:r>
      <w:r w:rsidR="00530EF0" w:rsidRPr="00253EA6">
        <w:rPr>
          <w:rFonts w:ascii="Georgia" w:eastAsia="Times New Roman" w:hAnsi="Georgia" w:cs="Arial"/>
          <w:kern w:val="28"/>
          <w:highlight w:val="black"/>
          <w:lang w:eastAsia="it-IT"/>
        </w:rPr>
        <w:t>…..</w:t>
      </w:r>
      <w:r w:rsidRPr="00253EA6">
        <w:rPr>
          <w:rFonts w:ascii="Georgia" w:eastAsia="Times New Roman" w:hAnsi="Georgia" w:cs="Arial"/>
          <w:kern w:val="28"/>
          <w:lang w:eastAsia="it-IT"/>
        </w:rPr>
        <w:t xml:space="preserve"> emessa dal GUP presso questo Tribunale, e divenuta definitiva il </w:t>
      </w:r>
      <w:r w:rsidR="00530EF0" w:rsidRPr="00253EA6">
        <w:rPr>
          <w:rFonts w:ascii="Georgia" w:eastAsia="Times New Roman" w:hAnsi="Georgia" w:cs="Arial"/>
          <w:kern w:val="28"/>
          <w:highlight w:val="black"/>
          <w:lang w:eastAsia="it-IT"/>
        </w:rPr>
        <w:t>…………</w:t>
      </w:r>
      <w:r w:rsidRPr="00253EA6">
        <w:rPr>
          <w:rFonts w:ascii="Georgia" w:eastAsia="Times New Roman" w:hAnsi="Georgia" w:cs="Arial"/>
          <w:kern w:val="28"/>
          <w:highlight w:val="black"/>
          <w:lang w:eastAsia="it-IT"/>
        </w:rPr>
        <w:t>,</w:t>
      </w:r>
      <w:r w:rsidRPr="00253EA6">
        <w:rPr>
          <w:rFonts w:ascii="Georgia" w:eastAsia="Times New Roman" w:hAnsi="Georgia" w:cs="Arial"/>
          <w:kern w:val="28"/>
          <w:lang w:eastAsia="it-IT"/>
        </w:rPr>
        <w:t xml:space="preserve"> di condanna per reati di rapina e porto illecito di armi.  </w:t>
      </w:r>
    </w:p>
    <w:p w14:paraId="2A8921C8" w14:textId="77777777" w:rsidR="00AF48FD" w:rsidRPr="00253EA6" w:rsidRDefault="00AF48FD" w:rsidP="00AF48FD">
      <w:pPr>
        <w:autoSpaceDE w:val="0"/>
        <w:autoSpaceDN w:val="0"/>
        <w:spacing w:after="0" w:line="276" w:lineRule="auto"/>
        <w:ind w:firstLine="708"/>
        <w:jc w:val="both"/>
        <w:rPr>
          <w:rFonts w:ascii="Georgia" w:eastAsia="Times New Roman" w:hAnsi="Georgia" w:cs="Arial"/>
          <w:kern w:val="28"/>
          <w:lang w:eastAsia="it-IT"/>
        </w:rPr>
      </w:pPr>
      <w:r w:rsidRPr="00253EA6">
        <w:rPr>
          <w:rFonts w:ascii="Georgia" w:eastAsia="Times New Roman" w:hAnsi="Georgia" w:cs="Arial"/>
          <w:kern w:val="28"/>
          <w:lang w:eastAsia="it-IT"/>
        </w:rPr>
        <w:t>La circostanza del passaggio in giudicato in tempi più recenti della sentenza emessa da questo Tribunale con riferimento a reati commessi</w:t>
      </w:r>
      <w:r w:rsidR="00530EF0" w:rsidRPr="00253EA6">
        <w:rPr>
          <w:rFonts w:ascii="Georgia" w:eastAsia="Times New Roman" w:hAnsi="Georgia" w:cs="Arial"/>
          <w:kern w:val="28"/>
          <w:lang w:eastAsia="it-IT"/>
        </w:rPr>
        <w:t xml:space="preserve"> dal</w:t>
      </w:r>
      <w:r w:rsidRPr="00253EA6">
        <w:rPr>
          <w:rFonts w:ascii="Georgia" w:eastAsia="Times New Roman" w:hAnsi="Georgia" w:cs="Arial"/>
          <w:kern w:val="28"/>
          <w:lang w:eastAsia="it-IT"/>
        </w:rPr>
        <w:t xml:space="preserve"> </w:t>
      </w:r>
      <w:r w:rsidR="00530EF0" w:rsidRPr="00253EA6">
        <w:rPr>
          <w:rFonts w:ascii="Georgia" w:eastAsia="Times New Roman" w:hAnsi="Georgia" w:cs="Arial"/>
          <w:b/>
          <w:kern w:val="28"/>
          <w:highlight w:val="black"/>
          <w:lang w:eastAsia="it-IT"/>
        </w:rPr>
        <w:t>************************</w:t>
      </w:r>
      <w:r w:rsidRPr="00253EA6">
        <w:rPr>
          <w:rFonts w:ascii="Georgia" w:eastAsia="Times New Roman" w:hAnsi="Georgia" w:cs="Arial"/>
          <w:kern w:val="28"/>
          <w:lang w:eastAsia="it-IT"/>
        </w:rPr>
        <w:t xml:space="preserve">nella minore età ha determinato la competenza della Procura Minorile ad emettere il provvedimento di cumulo. </w:t>
      </w:r>
    </w:p>
    <w:p w14:paraId="69E1C022" w14:textId="77777777" w:rsidR="00AF48FD" w:rsidRPr="00253EA6" w:rsidRDefault="00AF48FD" w:rsidP="00AF48FD">
      <w:pPr>
        <w:autoSpaceDE w:val="0"/>
        <w:autoSpaceDN w:val="0"/>
        <w:spacing w:after="0" w:line="276" w:lineRule="auto"/>
        <w:ind w:firstLine="708"/>
        <w:jc w:val="both"/>
        <w:rPr>
          <w:rFonts w:ascii="Georgia" w:eastAsia="Times New Roman" w:hAnsi="Georgia" w:cs="Arial"/>
          <w:kern w:val="28"/>
          <w:lang w:eastAsia="it-IT"/>
        </w:rPr>
      </w:pPr>
      <w:r w:rsidRPr="00253EA6">
        <w:rPr>
          <w:rFonts w:ascii="Georgia" w:eastAsia="Times New Roman" w:hAnsi="Georgia" w:cs="Arial"/>
          <w:kern w:val="28"/>
          <w:lang w:eastAsia="it-IT"/>
        </w:rPr>
        <w:t>Resta tuttavia il dato oggettivo dell’</w:t>
      </w:r>
      <w:r w:rsidRPr="00253EA6">
        <w:rPr>
          <w:rFonts w:ascii="Georgia" w:eastAsia="Times New Roman" w:hAnsi="Georgia" w:cs="Arial"/>
          <w:i/>
          <w:kern w:val="28"/>
          <w:lang w:eastAsia="it-IT"/>
        </w:rPr>
        <w:t>unicità</w:t>
      </w:r>
      <w:r w:rsidRPr="00253EA6">
        <w:rPr>
          <w:rFonts w:ascii="Georgia" w:eastAsia="Times New Roman" w:hAnsi="Georgia" w:cs="Arial"/>
          <w:kern w:val="28"/>
          <w:lang w:eastAsia="it-IT"/>
        </w:rPr>
        <w:t xml:space="preserve"> del rapporto esecutivo in capo al medesimo soggetto, </w:t>
      </w:r>
      <w:r w:rsidR="00530EF0" w:rsidRPr="00253EA6">
        <w:rPr>
          <w:rFonts w:ascii="Georgia" w:eastAsia="Times New Roman" w:hAnsi="Georgia" w:cs="Arial"/>
          <w:b/>
          <w:kern w:val="28"/>
          <w:highlight w:val="black"/>
          <w:lang w:eastAsia="it-IT"/>
        </w:rPr>
        <w:t>************************</w:t>
      </w:r>
      <w:r w:rsidRPr="00253EA6">
        <w:rPr>
          <w:rFonts w:ascii="Georgia" w:eastAsia="Times New Roman" w:hAnsi="Georgia" w:cs="Arial"/>
          <w:kern w:val="28"/>
          <w:highlight w:val="black"/>
          <w:lang w:eastAsia="it-IT"/>
        </w:rPr>
        <w:t>.</w:t>
      </w:r>
      <w:r w:rsidRPr="00253EA6">
        <w:rPr>
          <w:rFonts w:ascii="Georgia" w:eastAsia="Times New Roman" w:hAnsi="Georgia" w:cs="Arial"/>
          <w:kern w:val="28"/>
          <w:lang w:eastAsia="it-IT"/>
        </w:rPr>
        <w:t xml:space="preserve"> </w:t>
      </w:r>
    </w:p>
    <w:p w14:paraId="1494C753" w14:textId="77777777" w:rsidR="00AF48FD" w:rsidRPr="00253EA6" w:rsidRDefault="00AF48FD" w:rsidP="00AF48FD">
      <w:pPr>
        <w:autoSpaceDE w:val="0"/>
        <w:autoSpaceDN w:val="0"/>
        <w:spacing w:after="0" w:line="276" w:lineRule="auto"/>
        <w:ind w:firstLine="708"/>
        <w:jc w:val="both"/>
        <w:rPr>
          <w:rFonts w:ascii="Georgia" w:eastAsia="Times New Roman" w:hAnsi="Georgia" w:cs="Arial"/>
          <w:kern w:val="28"/>
          <w:lang w:eastAsia="it-IT"/>
        </w:rPr>
      </w:pPr>
      <w:r w:rsidRPr="00253EA6">
        <w:rPr>
          <w:rFonts w:ascii="Georgia" w:eastAsia="Times New Roman" w:hAnsi="Georgia" w:cs="Arial"/>
          <w:kern w:val="28"/>
          <w:lang w:eastAsia="it-IT"/>
        </w:rPr>
        <w:t xml:space="preserve">A tale elemento deve corrispondere l’unicità dell’autorità giurisdizionale con funzioni di sorveglianza che valuti le modalità dell’esecuzione della pena, che è complessiva e quindi unica. </w:t>
      </w:r>
    </w:p>
    <w:p w14:paraId="2AAF6F01" w14:textId="77777777" w:rsidR="00AF48FD" w:rsidRPr="00253EA6" w:rsidRDefault="00AF48FD" w:rsidP="00AF48FD">
      <w:pPr>
        <w:autoSpaceDE w:val="0"/>
        <w:autoSpaceDN w:val="0"/>
        <w:spacing w:after="0" w:line="276" w:lineRule="auto"/>
        <w:ind w:firstLine="708"/>
        <w:jc w:val="both"/>
        <w:rPr>
          <w:rFonts w:ascii="Georgia" w:eastAsia="Times New Roman" w:hAnsi="Georgia" w:cs="Arial"/>
          <w:kern w:val="28"/>
          <w:lang w:eastAsia="it-IT"/>
        </w:rPr>
      </w:pPr>
      <w:r w:rsidRPr="00253EA6">
        <w:rPr>
          <w:rFonts w:ascii="Georgia" w:eastAsia="Times New Roman" w:hAnsi="Georgia" w:cs="Arial"/>
          <w:kern w:val="28"/>
          <w:lang w:eastAsia="it-IT"/>
        </w:rPr>
        <w:t xml:space="preserve">Tale autorità potrebbe coincidere con quella minorile qualora l’interessato avesse iniziato a scontare la pena per il reato commesso nella minore età, in applicazione dell’art. 10 comma 1 </w:t>
      </w:r>
      <w:proofErr w:type="spellStart"/>
      <w:r w:rsidRPr="00253EA6">
        <w:rPr>
          <w:rFonts w:ascii="Georgia" w:eastAsia="Times New Roman" w:hAnsi="Georgia" w:cs="Arial"/>
          <w:kern w:val="28"/>
          <w:lang w:eastAsia="it-IT"/>
        </w:rPr>
        <w:t>d.lvo</w:t>
      </w:r>
      <w:proofErr w:type="spellEnd"/>
      <w:r w:rsidRPr="00253EA6">
        <w:rPr>
          <w:rFonts w:ascii="Georgia" w:eastAsia="Times New Roman" w:hAnsi="Georgia" w:cs="Arial"/>
          <w:kern w:val="28"/>
          <w:lang w:eastAsia="it-IT"/>
        </w:rPr>
        <w:t xml:space="preserve"> 121/2018 che ammette la possibilità di attrazione della competenza al magistrato di sorveglianza minorile (e al Tribunale minorile di sorveglianza) anche per l’esecuzione del titolo relativo a reati commessi nella maggiore età dal medesimo soggetto, il quale sia già entrato nel circuito penale minorile e sia ancora sottoposto alla misura penale di comunità. </w:t>
      </w:r>
    </w:p>
    <w:p w14:paraId="27424784" w14:textId="25C0C31F" w:rsidR="00AF48FD" w:rsidRPr="00253EA6" w:rsidRDefault="00AF48FD" w:rsidP="00AF48FD">
      <w:pPr>
        <w:autoSpaceDE w:val="0"/>
        <w:autoSpaceDN w:val="0"/>
        <w:spacing w:after="0" w:line="276" w:lineRule="auto"/>
        <w:ind w:firstLine="708"/>
        <w:jc w:val="both"/>
        <w:rPr>
          <w:rFonts w:ascii="Georgia" w:eastAsia="Times New Roman" w:hAnsi="Georgia" w:cs="Arial"/>
          <w:kern w:val="28"/>
          <w:lang w:eastAsia="it-IT"/>
        </w:rPr>
      </w:pPr>
      <w:r w:rsidRPr="00253EA6">
        <w:rPr>
          <w:rFonts w:ascii="Georgia" w:eastAsia="Times New Roman" w:hAnsi="Georgia" w:cs="Arial"/>
          <w:kern w:val="28"/>
          <w:lang w:eastAsia="it-IT"/>
        </w:rPr>
        <w:t xml:space="preserve">Nel caso di specie il </w:t>
      </w:r>
      <w:r w:rsidR="00530EF0" w:rsidRPr="00253EA6">
        <w:rPr>
          <w:rFonts w:ascii="Georgia" w:eastAsia="Times New Roman" w:hAnsi="Georgia" w:cs="Arial"/>
          <w:b/>
          <w:kern w:val="28"/>
          <w:highlight w:val="black"/>
          <w:lang w:eastAsia="it-IT"/>
        </w:rPr>
        <w:t>************************</w:t>
      </w:r>
      <w:r w:rsidRPr="00253EA6">
        <w:rPr>
          <w:rFonts w:ascii="Georgia" w:eastAsia="Times New Roman" w:hAnsi="Georgia" w:cs="Arial"/>
          <w:kern w:val="28"/>
          <w:lang w:eastAsia="it-IT"/>
        </w:rPr>
        <w:t xml:space="preserve"> si trova invece collocato presso struttura protetta (cooperativa in </w:t>
      </w:r>
      <w:r w:rsidR="00530EF0" w:rsidRPr="00253EA6">
        <w:rPr>
          <w:rFonts w:ascii="Georgia" w:eastAsia="Times New Roman" w:hAnsi="Georgia" w:cs="Arial"/>
          <w:kern w:val="28"/>
          <w:highlight w:val="black"/>
          <w:lang w:eastAsia="it-IT"/>
        </w:rPr>
        <w:t>……</w:t>
      </w:r>
      <w:r w:rsidRPr="00253EA6">
        <w:rPr>
          <w:rFonts w:ascii="Georgia" w:eastAsia="Times New Roman" w:hAnsi="Georgia" w:cs="Arial"/>
          <w:kern w:val="28"/>
          <w:highlight w:val="black"/>
          <w:lang w:eastAsia="it-IT"/>
        </w:rPr>
        <w:t>,</w:t>
      </w:r>
      <w:r w:rsidRPr="00253EA6">
        <w:rPr>
          <w:rFonts w:ascii="Georgia" w:eastAsia="Times New Roman" w:hAnsi="Georgia" w:cs="Arial"/>
          <w:kern w:val="28"/>
          <w:lang w:eastAsia="it-IT"/>
        </w:rPr>
        <w:t xml:space="preserve"> provincia </w:t>
      </w:r>
      <w:r w:rsidR="00530EF0" w:rsidRPr="00253EA6">
        <w:rPr>
          <w:rFonts w:ascii="Georgia" w:eastAsia="Times New Roman" w:hAnsi="Georgia" w:cs="Arial"/>
          <w:kern w:val="28"/>
          <w:highlight w:val="black"/>
          <w:lang w:eastAsia="it-IT"/>
        </w:rPr>
        <w:t>……</w:t>
      </w:r>
      <w:r w:rsidRPr="00253EA6">
        <w:rPr>
          <w:rFonts w:ascii="Georgia" w:eastAsia="Times New Roman" w:hAnsi="Georgia" w:cs="Arial"/>
          <w:kern w:val="28"/>
          <w:highlight w:val="black"/>
          <w:lang w:eastAsia="it-IT"/>
        </w:rPr>
        <w:t>)</w:t>
      </w:r>
      <w:r w:rsidR="00253EA6" w:rsidRPr="00253EA6">
        <w:rPr>
          <w:rFonts w:ascii="Georgia" w:eastAsia="Times New Roman" w:hAnsi="Georgia" w:cs="Arial"/>
          <w:kern w:val="28"/>
          <w:lang w:eastAsia="it-IT"/>
        </w:rPr>
        <w:t>)</w:t>
      </w:r>
      <w:r w:rsidRPr="00253EA6">
        <w:rPr>
          <w:rFonts w:ascii="Georgia" w:eastAsia="Times New Roman" w:hAnsi="Georgia" w:cs="Arial"/>
          <w:kern w:val="28"/>
          <w:lang w:eastAsia="it-IT"/>
        </w:rPr>
        <w:t xml:space="preserve"> in forza di un provvedimento cautelare dell’autorità giudiziaria penale ordinaria, con riferimento ad altro reato commesso nella maggiore età.  </w:t>
      </w:r>
    </w:p>
    <w:p w14:paraId="34BE57BD" w14:textId="77777777" w:rsidR="00AF48FD" w:rsidRPr="00253EA6" w:rsidRDefault="00AF48FD" w:rsidP="00AF48FD">
      <w:pPr>
        <w:tabs>
          <w:tab w:val="left" w:pos="8364"/>
        </w:tabs>
        <w:autoSpaceDE w:val="0"/>
        <w:autoSpaceDN w:val="0"/>
        <w:spacing w:after="0" w:line="276" w:lineRule="auto"/>
        <w:ind w:firstLine="708"/>
        <w:jc w:val="both"/>
        <w:rPr>
          <w:rFonts w:ascii="Georgia" w:eastAsia="Times New Roman" w:hAnsi="Georgia" w:cs="Arial"/>
          <w:kern w:val="28"/>
          <w:lang w:eastAsia="it-IT"/>
        </w:rPr>
      </w:pPr>
      <w:r w:rsidRPr="00253EA6">
        <w:rPr>
          <w:rFonts w:ascii="Georgia" w:eastAsia="Times New Roman" w:hAnsi="Georgia" w:cs="Arial"/>
          <w:kern w:val="28"/>
          <w:lang w:eastAsia="it-IT"/>
        </w:rPr>
        <w:t xml:space="preserve">A questo punto, considerata l’assenza di provvedimenti sull’esecuzione del reato commesso nella minore età, si reputa che l’unica magistratura competente a modulare e seguire l’esecuzione dell’unica pena a suo carico debba essere la magistratura ordinaria. </w:t>
      </w:r>
    </w:p>
    <w:p w14:paraId="0538BDC3" w14:textId="77777777" w:rsidR="00AF48FD" w:rsidRPr="008811AC" w:rsidRDefault="00AF48FD" w:rsidP="00AF48FD">
      <w:pPr>
        <w:tabs>
          <w:tab w:val="left" w:pos="8364"/>
        </w:tabs>
        <w:autoSpaceDE w:val="0"/>
        <w:autoSpaceDN w:val="0"/>
        <w:spacing w:after="0" w:line="276" w:lineRule="auto"/>
        <w:ind w:firstLine="708"/>
        <w:jc w:val="both"/>
        <w:rPr>
          <w:rFonts w:ascii="Georgia" w:eastAsia="Times New Roman" w:hAnsi="Georgia" w:cs="Arial"/>
          <w:kern w:val="28"/>
          <w:lang w:eastAsia="it-IT"/>
        </w:rPr>
      </w:pPr>
      <w:r w:rsidRPr="00253EA6">
        <w:rPr>
          <w:rFonts w:ascii="Georgia" w:eastAsia="Times New Roman" w:hAnsi="Georgia" w:cs="Arial"/>
          <w:kern w:val="28"/>
          <w:lang w:eastAsia="it-IT"/>
        </w:rPr>
        <w:t xml:space="preserve">Si condivide l’orientamento della Corte di Cassazione sul punto espresso in numerose </w:t>
      </w:r>
      <w:r w:rsidRPr="008811AC">
        <w:rPr>
          <w:rFonts w:ascii="Georgia" w:eastAsia="Times New Roman" w:hAnsi="Georgia" w:cs="Arial"/>
          <w:kern w:val="28"/>
          <w:lang w:eastAsia="it-IT"/>
        </w:rPr>
        <w:t xml:space="preserve">sentenze (v. per tutte le pronunce della Cassazione n 4050 del 31/05/2000, n. 2681 del 2011, 282 del 1999, 461 del 1993, 1107 del 24/09/1976; n.436 del 15/06/1974) che rappresentano come nel caso di sopravvenienza di nuovi titoli di privazione della libertà personale per fatti commessi durante la maggiore età, le funzioni della magistratura di sorveglianza devono spettare al Tribunale di sorveglianza ordinario, in quanto non esiste nessuna norma del sistema processuale o </w:t>
      </w:r>
      <w:r w:rsidRPr="008811AC">
        <w:rPr>
          <w:rFonts w:ascii="Georgia" w:eastAsia="Times New Roman" w:hAnsi="Georgia" w:cs="Arial"/>
          <w:kern w:val="28"/>
          <w:lang w:eastAsia="it-IT"/>
        </w:rPr>
        <w:lastRenderedPageBreak/>
        <w:t>dell'ordinamento penitenziario che consenta la "</w:t>
      </w:r>
      <w:proofErr w:type="spellStart"/>
      <w:r w:rsidRPr="008811AC">
        <w:rPr>
          <w:rFonts w:ascii="Georgia" w:eastAsia="Times New Roman" w:hAnsi="Georgia" w:cs="Arial"/>
          <w:kern w:val="28"/>
          <w:lang w:eastAsia="it-IT"/>
        </w:rPr>
        <w:t>perpetuatio</w:t>
      </w:r>
      <w:proofErr w:type="spellEnd"/>
      <w:r w:rsidRPr="008811AC">
        <w:rPr>
          <w:rFonts w:ascii="Georgia" w:eastAsia="Times New Roman" w:hAnsi="Georgia" w:cs="Arial"/>
          <w:kern w:val="28"/>
          <w:lang w:eastAsia="it-IT"/>
        </w:rPr>
        <w:t xml:space="preserve"> </w:t>
      </w:r>
      <w:proofErr w:type="spellStart"/>
      <w:r w:rsidRPr="008811AC">
        <w:rPr>
          <w:rFonts w:ascii="Georgia" w:eastAsia="Times New Roman" w:hAnsi="Georgia" w:cs="Arial"/>
          <w:kern w:val="28"/>
          <w:lang w:eastAsia="it-IT"/>
        </w:rPr>
        <w:t>jurisdictionis</w:t>
      </w:r>
      <w:proofErr w:type="spellEnd"/>
      <w:r w:rsidRPr="008811AC">
        <w:rPr>
          <w:rFonts w:ascii="Georgia" w:eastAsia="Times New Roman" w:hAnsi="Georgia" w:cs="Arial"/>
          <w:kern w:val="28"/>
          <w:lang w:eastAsia="it-IT"/>
        </w:rPr>
        <w:t xml:space="preserve">" del Tribunale per i minorenni (cfr. Cass., Sez. I, 4.2/4.3.1993, </w:t>
      </w:r>
      <w:proofErr w:type="spellStart"/>
      <w:r w:rsidRPr="008811AC">
        <w:rPr>
          <w:rFonts w:ascii="Georgia" w:eastAsia="Times New Roman" w:hAnsi="Georgia" w:cs="Arial"/>
          <w:kern w:val="28"/>
          <w:lang w:eastAsia="it-IT"/>
        </w:rPr>
        <w:t>confl</w:t>
      </w:r>
      <w:proofErr w:type="spellEnd"/>
      <w:r w:rsidRPr="008811AC">
        <w:rPr>
          <w:rFonts w:ascii="Georgia" w:eastAsia="Times New Roman" w:hAnsi="Georgia" w:cs="Arial"/>
          <w:kern w:val="28"/>
          <w:lang w:eastAsia="it-IT"/>
        </w:rPr>
        <w:t xml:space="preserve">. </w:t>
      </w:r>
      <w:proofErr w:type="spellStart"/>
      <w:r w:rsidRPr="008811AC">
        <w:rPr>
          <w:rFonts w:ascii="Georgia" w:eastAsia="Times New Roman" w:hAnsi="Georgia" w:cs="Arial"/>
          <w:kern w:val="28"/>
          <w:lang w:eastAsia="it-IT"/>
        </w:rPr>
        <w:t>comp</w:t>
      </w:r>
      <w:proofErr w:type="spellEnd"/>
      <w:r w:rsidRPr="008811AC">
        <w:rPr>
          <w:rFonts w:ascii="Georgia" w:eastAsia="Times New Roman" w:hAnsi="Georgia" w:cs="Arial"/>
          <w:kern w:val="28"/>
          <w:lang w:eastAsia="it-IT"/>
        </w:rPr>
        <w:t xml:space="preserve">. in proc. Campochiaro; 12.1/4.3.1999, P.M. in proc. Serra) e in quanto l’unicità del rapporto esecutivo pone l’esigenza di individuare anche un unico Tribunale (e magistrato) di sorveglianza che valuti le modalità di esecuzione della pena (e verifichi l’andamento del percorso alternativo eventualmente attivato, valutando altresì i presupposti per la concessione dei benefici via via richiesti dal condannato). </w:t>
      </w:r>
    </w:p>
    <w:p w14:paraId="6CD49BFB" w14:textId="6C1B6916" w:rsidR="00AF48FD" w:rsidRPr="008811AC" w:rsidRDefault="00AF48FD" w:rsidP="00AF48FD">
      <w:pPr>
        <w:tabs>
          <w:tab w:val="left" w:pos="8364"/>
        </w:tabs>
        <w:autoSpaceDE w:val="0"/>
        <w:autoSpaceDN w:val="0"/>
        <w:spacing w:after="0" w:line="276" w:lineRule="auto"/>
        <w:ind w:firstLine="708"/>
        <w:jc w:val="both"/>
        <w:rPr>
          <w:rFonts w:ascii="Georgia" w:eastAsia="Times New Roman" w:hAnsi="Georgia" w:cs="Arial"/>
          <w:kern w:val="28"/>
          <w:lang w:eastAsia="it-IT"/>
        </w:rPr>
      </w:pPr>
      <w:r w:rsidRPr="008811AC">
        <w:rPr>
          <w:rFonts w:ascii="Georgia" w:eastAsia="Times New Roman" w:hAnsi="Georgia" w:cs="Arial"/>
          <w:kern w:val="28"/>
          <w:lang w:eastAsia="it-IT"/>
        </w:rPr>
        <w:t xml:space="preserve">Tale unica autorità giudiziaria va fatta coincidere di regola con quella ordinaria, tenendo conto che comunque al compimento del </w:t>
      </w:r>
      <w:r w:rsidR="00253EA6" w:rsidRPr="008811AC">
        <w:rPr>
          <w:rFonts w:ascii="Georgia" w:eastAsia="Times New Roman" w:hAnsi="Georgia" w:cs="Arial"/>
          <w:kern w:val="28"/>
          <w:lang w:eastAsia="it-IT"/>
        </w:rPr>
        <w:t>25°</w:t>
      </w:r>
      <w:r w:rsidRPr="008811AC">
        <w:rPr>
          <w:rFonts w:ascii="Georgia" w:eastAsia="Times New Roman" w:hAnsi="Georgia" w:cs="Arial"/>
          <w:kern w:val="28"/>
          <w:lang w:eastAsia="it-IT"/>
        </w:rPr>
        <w:t xml:space="preserve"> anno del soggetto cesserebbe la competenza della magistratura minorile (ai sensi dell’art. 3 DPR 448/88). </w:t>
      </w:r>
    </w:p>
    <w:p w14:paraId="3370EA97" w14:textId="77777777" w:rsidR="00AF48FD" w:rsidRPr="008811AC" w:rsidRDefault="00AF48FD" w:rsidP="00AF48FD">
      <w:pPr>
        <w:autoSpaceDE w:val="0"/>
        <w:autoSpaceDN w:val="0"/>
        <w:spacing w:after="0" w:line="276" w:lineRule="auto"/>
        <w:ind w:firstLine="708"/>
        <w:jc w:val="both"/>
        <w:rPr>
          <w:rFonts w:ascii="Georgia" w:eastAsia="Times New Roman" w:hAnsi="Georgia" w:cs="Arial"/>
          <w:kern w:val="28"/>
          <w:lang w:eastAsia="it-IT"/>
        </w:rPr>
      </w:pPr>
      <w:r w:rsidRPr="008811AC">
        <w:rPr>
          <w:rFonts w:ascii="Georgia" w:eastAsia="Times New Roman" w:hAnsi="Georgia" w:cs="Arial"/>
          <w:kern w:val="28"/>
          <w:lang w:eastAsia="it-IT"/>
        </w:rPr>
        <w:t xml:space="preserve">Qui si osserva che tale orientamento è da ritenersi integralmente confermato anche dopo l’entrata in vigore della speciale disciplina dell’esecuzione delle pene nei confronti dei condannati minorenni o </w:t>
      </w:r>
      <w:proofErr w:type="spellStart"/>
      <w:r w:rsidRPr="008811AC">
        <w:rPr>
          <w:rFonts w:ascii="Georgia" w:eastAsia="Times New Roman" w:hAnsi="Georgia" w:cs="Arial"/>
          <w:kern w:val="28"/>
          <w:lang w:eastAsia="it-IT"/>
        </w:rPr>
        <w:t>infraventicinquenni</w:t>
      </w:r>
      <w:proofErr w:type="spellEnd"/>
      <w:r w:rsidRPr="008811AC">
        <w:rPr>
          <w:rFonts w:ascii="Georgia" w:eastAsia="Times New Roman" w:hAnsi="Georgia" w:cs="Arial"/>
          <w:kern w:val="28"/>
          <w:lang w:eastAsia="it-IT"/>
        </w:rPr>
        <w:t xml:space="preserve"> condannati per reati commessi nella maggiore età (contenuta nel decreto legislativo 02/10/2018 n. 121), nei casi in cui, come in quello di specie, l’esecuzione di condanne per reati commessi nella minore età non abbia ancora avuto inizio. </w:t>
      </w:r>
    </w:p>
    <w:p w14:paraId="0DE466D2" w14:textId="77777777" w:rsidR="00AF48FD" w:rsidRPr="008811AC" w:rsidRDefault="00AF48FD" w:rsidP="00AF48FD">
      <w:pPr>
        <w:autoSpaceDE w:val="0"/>
        <w:autoSpaceDN w:val="0"/>
        <w:spacing w:after="0" w:line="276" w:lineRule="auto"/>
        <w:ind w:firstLine="708"/>
        <w:jc w:val="both"/>
        <w:rPr>
          <w:rFonts w:ascii="Georgia" w:eastAsia="Times New Roman" w:hAnsi="Georgia" w:cs="Arial"/>
          <w:kern w:val="28"/>
          <w:lang w:eastAsia="it-IT"/>
        </w:rPr>
      </w:pPr>
      <w:r w:rsidRPr="008811AC">
        <w:rPr>
          <w:rFonts w:ascii="Georgia" w:eastAsia="Times New Roman" w:hAnsi="Georgia" w:cs="Arial"/>
          <w:kern w:val="28"/>
          <w:lang w:eastAsia="it-IT"/>
        </w:rPr>
        <w:t xml:space="preserve">Infatti, la norma speciale contenuta nell’art. 10 </w:t>
      </w:r>
      <w:proofErr w:type="spellStart"/>
      <w:r w:rsidRPr="008811AC">
        <w:rPr>
          <w:rFonts w:ascii="Georgia" w:eastAsia="Times New Roman" w:hAnsi="Georgia" w:cs="Arial"/>
          <w:kern w:val="28"/>
          <w:lang w:eastAsia="it-IT"/>
        </w:rPr>
        <w:t>d.lvo</w:t>
      </w:r>
      <w:proofErr w:type="spellEnd"/>
      <w:r w:rsidRPr="008811AC">
        <w:rPr>
          <w:rFonts w:ascii="Georgia" w:eastAsia="Times New Roman" w:hAnsi="Georgia" w:cs="Arial"/>
          <w:kern w:val="28"/>
          <w:lang w:eastAsia="it-IT"/>
        </w:rPr>
        <w:t xml:space="preserve"> 02/10/2018 n. 121 per consentire, in via eccezionale, la “</w:t>
      </w:r>
      <w:proofErr w:type="spellStart"/>
      <w:r w:rsidRPr="008811AC">
        <w:rPr>
          <w:rFonts w:ascii="Georgia" w:eastAsia="Times New Roman" w:hAnsi="Georgia" w:cs="Arial"/>
          <w:kern w:val="28"/>
          <w:lang w:eastAsia="it-IT"/>
        </w:rPr>
        <w:t>perpetuatio</w:t>
      </w:r>
      <w:proofErr w:type="spellEnd"/>
      <w:r w:rsidRPr="008811AC">
        <w:rPr>
          <w:rFonts w:ascii="Georgia" w:eastAsia="Times New Roman" w:hAnsi="Georgia" w:cs="Arial"/>
          <w:kern w:val="28"/>
          <w:lang w:eastAsia="it-IT"/>
        </w:rPr>
        <w:t xml:space="preserve"> </w:t>
      </w:r>
      <w:proofErr w:type="spellStart"/>
      <w:r w:rsidRPr="008811AC">
        <w:rPr>
          <w:rFonts w:ascii="Georgia" w:eastAsia="Times New Roman" w:hAnsi="Georgia" w:cs="Arial"/>
          <w:kern w:val="28"/>
          <w:lang w:eastAsia="it-IT"/>
        </w:rPr>
        <w:t>jurisdictionis</w:t>
      </w:r>
      <w:proofErr w:type="spellEnd"/>
      <w:r w:rsidRPr="008811AC">
        <w:rPr>
          <w:rFonts w:ascii="Georgia" w:eastAsia="Times New Roman" w:hAnsi="Georgia" w:cs="Arial"/>
          <w:kern w:val="28"/>
          <w:lang w:eastAsia="it-IT"/>
        </w:rPr>
        <w:t>” del Tribunale per i minorenni, richiede che l’esecuzione sia già iniziata e possa quindi “</w:t>
      </w:r>
      <w:r w:rsidRPr="008811AC">
        <w:rPr>
          <w:rFonts w:ascii="Georgia" w:eastAsia="Times New Roman" w:hAnsi="Georgia" w:cs="Arial"/>
          <w:i/>
          <w:kern w:val="28"/>
          <w:lang w:eastAsia="it-IT"/>
        </w:rPr>
        <w:t>proseguire</w:t>
      </w:r>
      <w:r w:rsidRPr="008811AC">
        <w:rPr>
          <w:rFonts w:ascii="Georgia" w:eastAsia="Times New Roman" w:hAnsi="Georgia" w:cs="Arial"/>
          <w:kern w:val="28"/>
          <w:lang w:eastAsia="it-IT"/>
        </w:rPr>
        <w:t xml:space="preserve"> secondo le norme e con le modalità previste per i minorenni”, per potersi estendere al nuovo titolo (condanne per reati commessi nella maggiore età) dietro provvedimento in tal senso emesso dal magistrato di sorveglianza minorile, “tenuto conto del </w:t>
      </w:r>
      <w:r w:rsidRPr="008811AC">
        <w:rPr>
          <w:rFonts w:ascii="Georgia" w:eastAsia="Times New Roman" w:hAnsi="Georgia" w:cs="Arial"/>
          <w:i/>
          <w:kern w:val="28"/>
          <w:lang w:eastAsia="it-IT"/>
        </w:rPr>
        <w:t>percorso educativo in atto</w:t>
      </w:r>
      <w:r w:rsidRPr="008811AC">
        <w:rPr>
          <w:rFonts w:ascii="Georgia" w:eastAsia="Times New Roman" w:hAnsi="Georgia" w:cs="Arial"/>
          <w:kern w:val="28"/>
          <w:lang w:eastAsia="it-IT"/>
        </w:rPr>
        <w:t xml:space="preserve"> e della gravità dei fatti oggetto di cumulo”.  </w:t>
      </w:r>
    </w:p>
    <w:p w14:paraId="0E49301A" w14:textId="77777777" w:rsidR="00AF48FD" w:rsidRPr="008811AC" w:rsidRDefault="00AF48FD" w:rsidP="00AF48FD">
      <w:pPr>
        <w:autoSpaceDE w:val="0"/>
        <w:autoSpaceDN w:val="0"/>
        <w:spacing w:after="0" w:line="276" w:lineRule="auto"/>
        <w:ind w:firstLine="708"/>
        <w:jc w:val="both"/>
        <w:rPr>
          <w:rFonts w:ascii="Georgia" w:eastAsia="Times New Roman" w:hAnsi="Georgia" w:cs="Arial"/>
          <w:kern w:val="28"/>
          <w:lang w:eastAsia="it-IT"/>
        </w:rPr>
      </w:pPr>
      <w:r w:rsidRPr="008811AC">
        <w:rPr>
          <w:rFonts w:ascii="Georgia" w:eastAsia="Times New Roman" w:hAnsi="Georgia" w:cs="Arial"/>
          <w:kern w:val="28"/>
          <w:lang w:eastAsia="it-IT"/>
        </w:rPr>
        <w:t xml:space="preserve">Si ribadisce che l’odierno istante è invece allo stato libero (ossia non sottoposto a trattamento o percorso educativo né presso IPM né entro una misura penale di comunità) rispetto al reato commesso nella minore età (foriero della condanna compresa nel provvedimento di cumulo insieme con quella riportata per il detto reato commesso dopo il compimento dei 18 anni).  </w:t>
      </w:r>
    </w:p>
    <w:p w14:paraId="28C7168F" w14:textId="3095833C" w:rsidR="00AF48FD" w:rsidRPr="008811AC" w:rsidRDefault="00AF48FD" w:rsidP="00AF48FD">
      <w:pPr>
        <w:autoSpaceDE w:val="0"/>
        <w:autoSpaceDN w:val="0"/>
        <w:spacing w:after="0" w:line="276" w:lineRule="auto"/>
        <w:jc w:val="both"/>
        <w:rPr>
          <w:rFonts w:ascii="Georgia" w:eastAsia="Times New Roman" w:hAnsi="Georgia" w:cs="Arial"/>
          <w:kern w:val="28"/>
          <w:lang w:eastAsia="it-IT"/>
        </w:rPr>
      </w:pPr>
      <w:r w:rsidRPr="008811AC">
        <w:rPr>
          <w:rFonts w:ascii="Georgia" w:eastAsia="Times New Roman" w:hAnsi="Georgia" w:cs="Arial"/>
          <w:kern w:val="28"/>
          <w:lang w:eastAsia="it-IT"/>
        </w:rPr>
        <w:tab/>
      </w:r>
      <w:r w:rsidR="00253EA6" w:rsidRPr="008811AC">
        <w:rPr>
          <w:rFonts w:ascii="Georgia" w:eastAsia="Times New Roman" w:hAnsi="Georgia" w:cs="Arial"/>
          <w:kern w:val="28"/>
          <w:lang w:eastAsia="it-IT"/>
        </w:rPr>
        <w:t>Pertanto,</w:t>
      </w:r>
      <w:r w:rsidRPr="008811AC">
        <w:rPr>
          <w:rFonts w:ascii="Georgia" w:eastAsia="Times New Roman" w:hAnsi="Georgia" w:cs="Arial"/>
          <w:kern w:val="28"/>
          <w:lang w:eastAsia="it-IT"/>
        </w:rPr>
        <w:t xml:space="preserve"> si provvede preliminarmente e definitivamente come segue, col rilevare l’incompetenza funzionale di questo Tribunale, indicando il Tribunale di sorveglianza ordinario come A.G. competente a decidere sulle modalità di esecuzione della complessiva pena di cui al provvedimento n. </w:t>
      </w:r>
      <w:r w:rsidR="00530EF0" w:rsidRPr="008811AC">
        <w:rPr>
          <w:rFonts w:ascii="Georgia" w:eastAsia="Times New Roman" w:hAnsi="Georgia" w:cs="Arial"/>
          <w:kern w:val="28"/>
          <w:lang w:eastAsia="it-IT"/>
        </w:rPr>
        <w:t>………….</w:t>
      </w:r>
      <w:r w:rsidRPr="008811AC">
        <w:rPr>
          <w:rFonts w:ascii="Georgia" w:eastAsia="Times New Roman" w:hAnsi="Georgia" w:cs="Arial"/>
          <w:kern w:val="28"/>
          <w:lang w:eastAsia="it-IT"/>
        </w:rPr>
        <w:t xml:space="preserve"> SIEP emesso dalla Procura in sede a carico di </w:t>
      </w:r>
      <w:r w:rsidR="00530EF0" w:rsidRPr="008811AC">
        <w:rPr>
          <w:rFonts w:ascii="Georgia" w:eastAsia="Times New Roman" w:hAnsi="Georgia" w:cs="Arial"/>
          <w:b/>
          <w:kern w:val="28"/>
          <w:lang w:eastAsia="it-IT"/>
        </w:rPr>
        <w:t>************************</w:t>
      </w:r>
      <w:r w:rsidRPr="008811AC">
        <w:rPr>
          <w:rFonts w:ascii="Georgia" w:eastAsia="Times New Roman" w:hAnsi="Georgia" w:cs="Arial"/>
          <w:kern w:val="28"/>
          <w:lang w:eastAsia="it-IT"/>
        </w:rPr>
        <w:t>, condannato per un reato commesso da minorenne e successivamente raggiunto da altra condanna, definitiva e ancora non eseguita, per reati commessi nella maggiore età, senza che, con riferimento al reato commesso da minorenne l’esecuzione della pena abbia ancora avuto inizio.</w:t>
      </w:r>
    </w:p>
    <w:p w14:paraId="78B93FDE" w14:textId="77777777" w:rsidR="00AF48FD" w:rsidRPr="008811AC" w:rsidRDefault="00AF48FD" w:rsidP="00AF48FD">
      <w:pPr>
        <w:autoSpaceDE w:val="0"/>
        <w:autoSpaceDN w:val="0"/>
        <w:spacing w:after="0" w:line="276" w:lineRule="auto"/>
        <w:jc w:val="center"/>
        <w:rPr>
          <w:rFonts w:ascii="Georgia" w:eastAsia="Times New Roman" w:hAnsi="Georgia" w:cs="Arial"/>
          <w:kern w:val="28"/>
          <w:lang w:eastAsia="it-IT"/>
        </w:rPr>
      </w:pPr>
      <w:r w:rsidRPr="008811AC">
        <w:rPr>
          <w:rFonts w:ascii="Georgia" w:eastAsia="Times New Roman" w:hAnsi="Georgia" w:cs="Arial"/>
          <w:kern w:val="28"/>
          <w:lang w:eastAsia="it-IT"/>
        </w:rPr>
        <w:t>P.Q.M.</w:t>
      </w:r>
    </w:p>
    <w:p w14:paraId="75D41245" w14:textId="77777777" w:rsidR="00AF48FD" w:rsidRPr="008811AC" w:rsidRDefault="00AF48FD" w:rsidP="00AF48FD">
      <w:pPr>
        <w:autoSpaceDE w:val="0"/>
        <w:autoSpaceDN w:val="0"/>
        <w:spacing w:after="0" w:line="276" w:lineRule="auto"/>
        <w:jc w:val="both"/>
        <w:rPr>
          <w:rFonts w:ascii="Georgia" w:eastAsia="Times New Roman" w:hAnsi="Georgia" w:cs="Arial"/>
          <w:kern w:val="28"/>
          <w:lang w:eastAsia="it-IT"/>
        </w:rPr>
      </w:pPr>
      <w:r w:rsidRPr="008811AC">
        <w:rPr>
          <w:rFonts w:ascii="Georgia" w:eastAsia="Times New Roman" w:hAnsi="Georgia" w:cs="Arial"/>
          <w:b/>
          <w:kern w:val="28"/>
          <w:lang w:eastAsia="it-IT"/>
        </w:rPr>
        <w:t xml:space="preserve">DICHIARA l’incompetenza del Tribunale per i minorenni in funzione di Tribunale di sorveglianza a provvedere sull’istanza di ammissione a misure alternative alla detenzione in carcere avanzata da </w:t>
      </w:r>
      <w:bookmarkStart w:id="0" w:name="_Hlk89092114"/>
      <w:r w:rsidR="00530EF0" w:rsidRPr="008811AC">
        <w:rPr>
          <w:rFonts w:ascii="Georgia" w:eastAsia="Times New Roman" w:hAnsi="Georgia" w:cs="Arial"/>
          <w:b/>
          <w:kern w:val="28"/>
          <w:lang w:eastAsia="it-IT"/>
        </w:rPr>
        <w:t>************************</w:t>
      </w:r>
      <w:bookmarkEnd w:id="0"/>
      <w:r w:rsidRPr="008811AC">
        <w:rPr>
          <w:rFonts w:ascii="Georgia" w:eastAsia="Times New Roman" w:hAnsi="Georgia" w:cs="Arial"/>
          <w:b/>
          <w:kern w:val="28"/>
          <w:lang w:eastAsia="it-IT"/>
        </w:rPr>
        <w:t xml:space="preserve"> e in atto collocato in via cautelare per reati commessi nella maggiore età presso la cooperativa </w:t>
      </w:r>
      <w:r w:rsidR="00530EF0" w:rsidRPr="008811AC">
        <w:rPr>
          <w:rFonts w:ascii="Georgia" w:eastAsia="Times New Roman" w:hAnsi="Georgia" w:cs="Arial"/>
          <w:b/>
          <w:kern w:val="28"/>
          <w:lang w:eastAsia="it-IT"/>
        </w:rPr>
        <w:t>………..</w:t>
      </w:r>
      <w:r w:rsidRPr="008811AC">
        <w:rPr>
          <w:rFonts w:ascii="Georgia" w:eastAsia="Times New Roman" w:hAnsi="Georgia" w:cs="Arial"/>
          <w:b/>
          <w:kern w:val="28"/>
          <w:lang w:eastAsia="it-IT"/>
        </w:rPr>
        <w:t>), indicandosi come Tribunale competente il Tribunale ordinario di sorveglianza di Palermo</w:t>
      </w:r>
      <w:r w:rsidRPr="008811AC">
        <w:rPr>
          <w:rFonts w:ascii="Georgia" w:eastAsia="Times New Roman" w:hAnsi="Georgia" w:cs="Arial"/>
          <w:kern w:val="28"/>
          <w:lang w:eastAsia="it-IT"/>
        </w:rPr>
        <w:t xml:space="preserve">.  </w:t>
      </w:r>
    </w:p>
    <w:p w14:paraId="63CDCD30" w14:textId="77777777" w:rsidR="00AF48FD" w:rsidRPr="008811AC" w:rsidRDefault="00AF48FD" w:rsidP="00AF48FD">
      <w:pPr>
        <w:autoSpaceDE w:val="0"/>
        <w:autoSpaceDN w:val="0"/>
        <w:spacing w:after="0" w:line="276" w:lineRule="auto"/>
        <w:jc w:val="both"/>
        <w:rPr>
          <w:rFonts w:ascii="Georgia" w:eastAsia="Times New Roman" w:hAnsi="Georgia" w:cs="Arial"/>
          <w:kern w:val="28"/>
          <w:lang w:eastAsia="it-IT"/>
        </w:rPr>
      </w:pPr>
      <w:r w:rsidRPr="008811AC">
        <w:rPr>
          <w:rFonts w:ascii="Georgia" w:eastAsia="Times New Roman" w:hAnsi="Georgia" w:cs="Arial"/>
          <w:b/>
          <w:kern w:val="28"/>
          <w:lang w:eastAsia="it-IT"/>
        </w:rPr>
        <w:t>MANDA</w:t>
      </w:r>
      <w:r w:rsidRPr="008811AC">
        <w:rPr>
          <w:rFonts w:ascii="Georgia" w:eastAsia="Times New Roman" w:hAnsi="Georgia" w:cs="Arial"/>
          <w:kern w:val="28"/>
          <w:lang w:eastAsia="it-IT"/>
        </w:rPr>
        <w:t xml:space="preserve"> alla Cancelleria per gli adempimenti di competenza inclusa la trasmissione degli atti al Tribunale di sorveglianza ordinario di Palermo. </w:t>
      </w:r>
    </w:p>
    <w:p w14:paraId="69458878" w14:textId="77777777" w:rsidR="00AF48FD" w:rsidRPr="00253EA6" w:rsidRDefault="00AF48FD" w:rsidP="00AF48FD">
      <w:pPr>
        <w:autoSpaceDE w:val="0"/>
        <w:autoSpaceDN w:val="0"/>
        <w:spacing w:after="0" w:line="276" w:lineRule="auto"/>
        <w:jc w:val="both"/>
        <w:rPr>
          <w:rFonts w:ascii="Georgia" w:eastAsia="Times New Roman" w:hAnsi="Georgia" w:cs="Arial"/>
          <w:kern w:val="28"/>
          <w:lang w:eastAsia="it-IT"/>
        </w:rPr>
      </w:pPr>
      <w:r w:rsidRPr="008811AC">
        <w:rPr>
          <w:rFonts w:ascii="Georgia" w:eastAsia="Times New Roman" w:hAnsi="Georgia" w:cs="Arial"/>
          <w:kern w:val="28"/>
          <w:lang w:eastAsia="it-IT"/>
        </w:rPr>
        <w:t>Così deciso in Catania l’11/11/2021.</w:t>
      </w:r>
      <w:r w:rsidRPr="00253EA6">
        <w:rPr>
          <w:rFonts w:ascii="Georgia" w:eastAsia="Times New Roman" w:hAnsi="Georgia" w:cs="Arial"/>
          <w:kern w:val="28"/>
          <w:lang w:eastAsia="it-IT"/>
        </w:rPr>
        <w:t xml:space="preserve">  </w:t>
      </w:r>
    </w:p>
    <w:p w14:paraId="2B916239" w14:textId="77777777" w:rsidR="00AE661D" w:rsidRPr="00253EA6" w:rsidRDefault="00AF48FD" w:rsidP="00AF48FD">
      <w:pPr>
        <w:rPr>
          <w:rFonts w:ascii="Georgia" w:hAnsi="Georgia"/>
        </w:rPr>
      </w:pPr>
      <w:r w:rsidRPr="00253EA6">
        <w:rPr>
          <w:rFonts w:ascii="Georgia" w:eastAsia="Times New Roman" w:hAnsi="Georgia" w:cs="Arial"/>
          <w:kern w:val="28"/>
          <w:lang w:eastAsia="it-IT"/>
        </w:rPr>
        <w:t xml:space="preserve">IL MAGISTRATO DI SORVEGLIANZA                                                        IL PRESIDENTE         </w:t>
      </w:r>
    </w:p>
    <w:sectPr w:rsidR="00AE661D" w:rsidRPr="00253E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FD"/>
    <w:rsid w:val="00253EA6"/>
    <w:rsid w:val="00530EF0"/>
    <w:rsid w:val="008811AC"/>
    <w:rsid w:val="00AE661D"/>
    <w:rsid w:val="00AF48FD"/>
    <w:rsid w:val="00B20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FA53"/>
  <w15:chartTrackingRefBased/>
  <w15:docId w15:val="{D7B7E66A-14AE-4223-BCB6-AA810324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Seminara</dc:creator>
  <cp:keywords/>
  <dc:description/>
  <cp:lastModifiedBy>Leonardo Tomei</cp:lastModifiedBy>
  <cp:revision>4</cp:revision>
  <dcterms:created xsi:type="dcterms:W3CDTF">2021-11-29T14:26:00Z</dcterms:created>
  <dcterms:modified xsi:type="dcterms:W3CDTF">2022-03-29T08:47:00Z</dcterms:modified>
</cp:coreProperties>
</file>